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tblLook w:val="0460" w:firstRow="1" w:lastRow="1" w:firstColumn="0" w:lastColumn="0" w:noHBand="0" w:noVBand="1"/>
      </w:tblPr>
      <w:tblGrid>
        <w:gridCol w:w="1975"/>
        <w:gridCol w:w="3060"/>
        <w:gridCol w:w="9090"/>
      </w:tblGrid>
      <w:tr w:rsidR="00966136" w:rsidRPr="00711F6A" w14:paraId="36D348AA" w14:textId="77777777" w:rsidTr="00A3554A">
        <w:trPr>
          <w:tblHeader/>
        </w:trPr>
        <w:tc>
          <w:tcPr>
            <w:tcW w:w="1975" w:type="dxa"/>
            <w:shd w:val="clear" w:color="auto" w:fill="C5E0B3" w:themeFill="accent6" w:themeFillTint="66"/>
          </w:tcPr>
          <w:p w14:paraId="5C5678A0" w14:textId="79C762E9" w:rsidR="00966136" w:rsidRPr="00711F6A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Committee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14:paraId="7C5E81FD" w14:textId="6BA1A1A7" w:rsidR="00966136" w:rsidRPr="00711F6A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Members</w:t>
            </w:r>
          </w:p>
        </w:tc>
        <w:tc>
          <w:tcPr>
            <w:tcW w:w="9090" w:type="dxa"/>
            <w:shd w:val="clear" w:color="auto" w:fill="C5E0B3" w:themeFill="accent6" w:themeFillTint="66"/>
          </w:tcPr>
          <w:p w14:paraId="50ADCE61" w14:textId="32096566" w:rsidR="00966136" w:rsidRPr="00711F6A" w:rsidRDefault="007B136B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Committee Responsibilities</w:t>
            </w:r>
          </w:p>
        </w:tc>
      </w:tr>
      <w:tr w:rsidR="00966136" w14:paraId="4DEBF0C7" w14:textId="77777777" w:rsidTr="00A3554A">
        <w:tc>
          <w:tcPr>
            <w:tcW w:w="1975" w:type="dxa"/>
          </w:tcPr>
          <w:p w14:paraId="62976B09" w14:textId="5CF45404" w:rsidR="00966136" w:rsidRPr="00711F6A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Board of Directors</w:t>
            </w:r>
          </w:p>
        </w:tc>
        <w:tc>
          <w:tcPr>
            <w:tcW w:w="3060" w:type="dxa"/>
          </w:tcPr>
          <w:p w14:paraId="5689057C" w14:textId="1E36C509" w:rsidR="00DE036C" w:rsidRDefault="00DE036C" w:rsidP="00966136">
            <w:pPr>
              <w:rPr>
                <w:b/>
                <w:bCs/>
                <w:sz w:val="24"/>
                <w:szCs w:val="24"/>
              </w:rPr>
            </w:pPr>
            <w:r w:rsidRPr="00C40C0A">
              <w:rPr>
                <w:sz w:val="24"/>
                <w:szCs w:val="24"/>
              </w:rPr>
              <w:t>Paul Azoulay</w:t>
            </w:r>
            <w:r w:rsidR="00F47369">
              <w:rPr>
                <w:sz w:val="24"/>
                <w:szCs w:val="24"/>
              </w:rPr>
              <w:t>, Member At Large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77B129F" w14:textId="16BF562C" w:rsidR="00DE036C" w:rsidRPr="00DD186B" w:rsidRDefault="00DE036C" w:rsidP="00DE0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 DeBenedetto</w:t>
            </w:r>
            <w:r w:rsidR="00F47369">
              <w:rPr>
                <w:sz w:val="24"/>
                <w:szCs w:val="24"/>
              </w:rPr>
              <w:t>, Secretary</w:t>
            </w:r>
          </w:p>
          <w:p w14:paraId="325B3F68" w14:textId="4D86C349" w:rsidR="00966136" w:rsidRPr="00DE036C" w:rsidRDefault="0016145E" w:rsidP="00966136">
            <w:pPr>
              <w:rPr>
                <w:sz w:val="24"/>
                <w:szCs w:val="24"/>
              </w:rPr>
            </w:pPr>
            <w:r w:rsidRPr="00DE036C">
              <w:rPr>
                <w:sz w:val="24"/>
                <w:szCs w:val="24"/>
              </w:rPr>
              <w:t>Vicki Duggan</w:t>
            </w:r>
            <w:r w:rsidR="00F47369">
              <w:rPr>
                <w:sz w:val="24"/>
                <w:szCs w:val="24"/>
              </w:rPr>
              <w:t>, President</w:t>
            </w:r>
          </w:p>
          <w:p w14:paraId="251E5193" w14:textId="0E6F535E" w:rsidR="00DE036C" w:rsidRDefault="00DE036C" w:rsidP="00DE0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Engling</w:t>
            </w:r>
            <w:r w:rsidR="00F47369">
              <w:rPr>
                <w:sz w:val="24"/>
                <w:szCs w:val="24"/>
              </w:rPr>
              <w:t>, Treasurer</w:t>
            </w:r>
          </w:p>
          <w:p w14:paraId="29A0B86C" w14:textId="56B4E3DD" w:rsidR="00966136" w:rsidRPr="00DD186B" w:rsidRDefault="00DD186B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Long</w:t>
            </w:r>
            <w:r w:rsidR="00F47369">
              <w:rPr>
                <w:sz w:val="24"/>
                <w:szCs w:val="24"/>
              </w:rPr>
              <w:t>, Vice-President</w:t>
            </w:r>
          </w:p>
          <w:p w14:paraId="65F22AD5" w14:textId="0ABD39E3" w:rsidR="00C03AC0" w:rsidRPr="00966136" w:rsidRDefault="00C03AC0" w:rsidP="00DE036C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648B4EEC" w14:textId="7F7CB294" w:rsidR="002B34D5" w:rsidRDefault="002B34D5" w:rsidP="008E78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Board of Directors</w:t>
            </w:r>
            <w:r w:rsidR="00797CC6">
              <w:rPr>
                <w:rFonts w:cstheme="minorHAnsi"/>
                <w:sz w:val="24"/>
                <w:szCs w:val="24"/>
              </w:rPr>
              <w:t xml:space="preserve">, as outlined in Article V of the Association By-Laws, has the power and </w:t>
            </w:r>
            <w:r>
              <w:rPr>
                <w:rFonts w:cstheme="minorHAnsi"/>
                <w:sz w:val="24"/>
                <w:szCs w:val="24"/>
              </w:rPr>
              <w:t xml:space="preserve">duties </w:t>
            </w:r>
            <w:r w:rsidR="00797CC6" w:rsidRPr="00797CC6">
              <w:rPr>
                <w:rFonts w:cstheme="minorHAnsi"/>
                <w:sz w:val="24"/>
                <w:szCs w:val="24"/>
              </w:rPr>
              <w:t>necessary for the administration of the community.</w:t>
            </w:r>
            <w:r w:rsidR="00797CC6">
              <w:t xml:space="preserve"> </w:t>
            </w:r>
          </w:p>
          <w:p w14:paraId="1662232B" w14:textId="58D0FD1E" w:rsidR="002B34D5" w:rsidRPr="008E784C" w:rsidRDefault="002B34D5" w:rsidP="008E78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66136" w14:paraId="09544B42" w14:textId="77777777" w:rsidTr="00A3554A">
        <w:tc>
          <w:tcPr>
            <w:tcW w:w="1975" w:type="dxa"/>
          </w:tcPr>
          <w:p w14:paraId="24DDA038" w14:textId="2E4888D5" w:rsidR="00966136" w:rsidRPr="00711F6A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Architectural</w:t>
            </w:r>
            <w:r w:rsidR="00711F6A" w:rsidRPr="00711F6A">
              <w:rPr>
                <w:b/>
                <w:bCs/>
                <w:sz w:val="32"/>
                <w:szCs w:val="32"/>
              </w:rPr>
              <w:t xml:space="preserve"> Review</w:t>
            </w:r>
          </w:p>
        </w:tc>
        <w:tc>
          <w:tcPr>
            <w:tcW w:w="3060" w:type="dxa"/>
          </w:tcPr>
          <w:p w14:paraId="79819F91" w14:textId="77777777" w:rsidR="00966136" w:rsidRDefault="00966136" w:rsidP="00966136">
            <w:pPr>
              <w:rPr>
                <w:b/>
                <w:bCs/>
                <w:sz w:val="24"/>
                <w:szCs w:val="24"/>
              </w:rPr>
            </w:pPr>
            <w:r w:rsidRPr="00194421">
              <w:rPr>
                <w:b/>
                <w:bCs/>
                <w:sz w:val="24"/>
                <w:szCs w:val="24"/>
              </w:rPr>
              <w:t>Christy Long, Chair</w:t>
            </w:r>
          </w:p>
          <w:p w14:paraId="1A71B2BF" w14:textId="5D76246A" w:rsidR="000B0872" w:rsidRDefault="000B0872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Azoulay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3858D3E8" w14:textId="1D748727" w:rsidR="00F61BD6" w:rsidRDefault="00F61BD6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Braun</w:t>
            </w:r>
          </w:p>
          <w:p w14:paraId="61E14C68" w14:textId="47977283" w:rsidR="00512AD3" w:rsidRDefault="00512AD3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Burdinski</w:t>
            </w:r>
          </w:p>
          <w:p w14:paraId="1C4B4C44" w14:textId="2C93A885" w:rsidR="004F3F52" w:rsidRDefault="004F3F52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Flavin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65585185" w14:textId="2D1D2A16" w:rsidR="00C03AC0" w:rsidRPr="00711F6A" w:rsidRDefault="00C03AC0" w:rsidP="00966136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75401C12" w14:textId="77777777" w:rsidR="0084477C" w:rsidRDefault="0084477C" w:rsidP="00D313A2">
            <w:pPr>
              <w:rPr>
                <w:sz w:val="24"/>
                <w:szCs w:val="24"/>
              </w:rPr>
            </w:pPr>
            <w:r w:rsidRPr="000A3AA1">
              <w:rPr>
                <w:sz w:val="24"/>
                <w:szCs w:val="24"/>
              </w:rPr>
              <w:t xml:space="preserve">The </w:t>
            </w:r>
            <w:r w:rsidR="006D6333" w:rsidRPr="000A3AA1">
              <w:rPr>
                <w:sz w:val="24"/>
                <w:szCs w:val="24"/>
              </w:rPr>
              <w:t>VCC</w:t>
            </w:r>
            <w:r w:rsidRPr="000A3AA1">
              <w:rPr>
                <w:sz w:val="24"/>
                <w:szCs w:val="24"/>
              </w:rPr>
              <w:t xml:space="preserve"> Board provides oversight and encourages the maintenance and enhancement of individual properties consistent with the overall appearance and character of the community.</w:t>
            </w:r>
            <w:r w:rsidR="006D6333" w:rsidRPr="000A3AA1">
              <w:rPr>
                <w:sz w:val="24"/>
                <w:szCs w:val="24"/>
              </w:rPr>
              <w:t xml:space="preserve"> To that end, the Architectural Committee, through the Property Manager, review </w:t>
            </w:r>
            <w:r w:rsidR="005E5664" w:rsidRPr="000A3AA1">
              <w:rPr>
                <w:sz w:val="24"/>
                <w:szCs w:val="24"/>
              </w:rPr>
              <w:t xml:space="preserve">homeowner’s </w:t>
            </w:r>
            <w:r w:rsidR="006D6333" w:rsidRPr="000A3AA1">
              <w:rPr>
                <w:sz w:val="24"/>
                <w:szCs w:val="24"/>
              </w:rPr>
              <w:t xml:space="preserve">applications for landscaping or </w:t>
            </w:r>
            <w:r w:rsidR="005E5664" w:rsidRPr="000A3AA1">
              <w:rPr>
                <w:sz w:val="24"/>
                <w:szCs w:val="24"/>
              </w:rPr>
              <w:t>property</w:t>
            </w:r>
            <w:r w:rsidR="006D6333" w:rsidRPr="000A3AA1">
              <w:rPr>
                <w:sz w:val="24"/>
                <w:szCs w:val="24"/>
              </w:rPr>
              <w:t xml:space="preserve"> modifications. </w:t>
            </w:r>
            <w:r w:rsidR="005E5664" w:rsidRPr="000A3AA1">
              <w:rPr>
                <w:sz w:val="24"/>
                <w:szCs w:val="24"/>
              </w:rPr>
              <w:t>Post review, t</w:t>
            </w:r>
            <w:r w:rsidR="006D6333" w:rsidRPr="000A3AA1">
              <w:rPr>
                <w:sz w:val="24"/>
                <w:szCs w:val="24"/>
              </w:rPr>
              <w:t>he Architectural Committee makes a recommendation to the Board of Directors to approve or deny the homeowner</w:t>
            </w:r>
            <w:r w:rsidR="005E5664" w:rsidRPr="000A3AA1">
              <w:rPr>
                <w:sz w:val="24"/>
                <w:szCs w:val="24"/>
              </w:rPr>
              <w:t>’</w:t>
            </w:r>
            <w:r w:rsidR="006D6333" w:rsidRPr="000A3AA1">
              <w:rPr>
                <w:sz w:val="24"/>
                <w:szCs w:val="24"/>
              </w:rPr>
              <w:t xml:space="preserve">s architectural </w:t>
            </w:r>
            <w:r w:rsidR="005E5664" w:rsidRPr="000A3AA1">
              <w:rPr>
                <w:sz w:val="24"/>
                <w:szCs w:val="24"/>
              </w:rPr>
              <w:t xml:space="preserve">modification </w:t>
            </w:r>
            <w:r w:rsidR="006D6333" w:rsidRPr="000A3AA1">
              <w:rPr>
                <w:sz w:val="24"/>
                <w:szCs w:val="24"/>
              </w:rPr>
              <w:t xml:space="preserve">request. </w:t>
            </w:r>
            <w:r w:rsidR="005E5664" w:rsidRPr="000A3AA1">
              <w:rPr>
                <w:sz w:val="24"/>
                <w:szCs w:val="24"/>
              </w:rPr>
              <w:t>The application requests are included as business items and voted upon at the VCC Board Meetings.</w:t>
            </w:r>
          </w:p>
          <w:p w14:paraId="083C389B" w14:textId="5342A876" w:rsidR="00F31985" w:rsidRPr="000A3AA1" w:rsidRDefault="00F31985" w:rsidP="00D313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136B" w14:paraId="1CE1860F" w14:textId="77777777" w:rsidTr="00A3554A">
        <w:tc>
          <w:tcPr>
            <w:tcW w:w="1975" w:type="dxa"/>
          </w:tcPr>
          <w:p w14:paraId="2309A6FD" w14:textId="6FC35EDF" w:rsidR="007B136B" w:rsidRPr="00711F6A" w:rsidRDefault="001240F2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Clubhouse</w:t>
            </w:r>
            <w:r w:rsidR="00CD6C3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14:paraId="3EE62AFB" w14:textId="77777777" w:rsidR="00B37586" w:rsidRPr="00B37586" w:rsidRDefault="00B83BD3" w:rsidP="00B37586">
            <w:pPr>
              <w:rPr>
                <w:b/>
                <w:bCs/>
                <w:sz w:val="24"/>
                <w:szCs w:val="24"/>
              </w:rPr>
            </w:pPr>
            <w:r w:rsidRPr="00B37586">
              <w:rPr>
                <w:b/>
                <w:bCs/>
                <w:sz w:val="24"/>
                <w:szCs w:val="24"/>
              </w:rPr>
              <w:t>Casey Backof</w:t>
            </w:r>
            <w:r w:rsidR="00B37586" w:rsidRPr="00B37586">
              <w:rPr>
                <w:b/>
                <w:bCs/>
                <w:sz w:val="24"/>
                <w:szCs w:val="24"/>
              </w:rPr>
              <w:t>, Co-Chair</w:t>
            </w:r>
          </w:p>
          <w:p w14:paraId="1DFFC14A" w14:textId="77777777" w:rsidR="00B37586" w:rsidRPr="00B37586" w:rsidRDefault="00B83BD3" w:rsidP="00B37586">
            <w:pPr>
              <w:rPr>
                <w:b/>
                <w:bCs/>
                <w:sz w:val="24"/>
                <w:szCs w:val="24"/>
              </w:rPr>
            </w:pPr>
            <w:r w:rsidRPr="00B37586">
              <w:rPr>
                <w:b/>
                <w:bCs/>
                <w:sz w:val="24"/>
                <w:szCs w:val="24"/>
              </w:rPr>
              <w:t>Mike Backof</w:t>
            </w:r>
            <w:r w:rsidR="00B37586" w:rsidRPr="00B37586">
              <w:rPr>
                <w:b/>
                <w:bCs/>
                <w:sz w:val="24"/>
                <w:szCs w:val="24"/>
              </w:rPr>
              <w:t>, Co-Chair</w:t>
            </w:r>
          </w:p>
          <w:p w14:paraId="1748ECCC" w14:textId="77777777" w:rsidR="00B37586" w:rsidRDefault="00B37586" w:rsidP="00B375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Tony Vogt, Co-Chair</w:t>
            </w:r>
          </w:p>
          <w:p w14:paraId="492985C5" w14:textId="77A6E5DB" w:rsidR="00B83BD3" w:rsidRPr="00B83BD3" w:rsidRDefault="00B83BD3" w:rsidP="00966136">
            <w:pPr>
              <w:rPr>
                <w:sz w:val="24"/>
                <w:szCs w:val="24"/>
              </w:rPr>
            </w:pPr>
          </w:p>
          <w:p w14:paraId="4457EBC3" w14:textId="299BCED7" w:rsidR="007B136B" w:rsidRPr="000E0D30" w:rsidRDefault="007B136B" w:rsidP="00966136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9090" w:type="dxa"/>
          </w:tcPr>
          <w:p w14:paraId="376DC2FE" w14:textId="0E52329F" w:rsidR="007B136B" w:rsidRPr="007B136B" w:rsidRDefault="007B136B" w:rsidP="007B136B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The </w:t>
            </w:r>
            <w:r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Clubhouse Committee is responsible to:</w:t>
            </w:r>
          </w:p>
          <w:p w14:paraId="08DE4FBC" w14:textId="77777777" w:rsidR="007B136B" w:rsidRPr="007B136B" w:rsidRDefault="007B136B" w:rsidP="00FD2745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1.  Check on the performance of the cleaning service and coordinate with the Property Manager regarding any deficiencies.</w:t>
            </w:r>
          </w:p>
          <w:p w14:paraId="142D0E63" w14:textId="7D6D6F7A" w:rsidR="007B136B" w:rsidRPr="007B136B" w:rsidRDefault="007B136B" w:rsidP="00FD2745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2.  Monitor the condition of the furniture and fixtures in the club and coordinate with the Board and PM regarding any required repairs</w:t>
            </w:r>
            <w:r w:rsidR="000541F5"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. </w:t>
            </w: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This includes light fixtures and faucets.</w:t>
            </w:r>
          </w:p>
          <w:p w14:paraId="1766E102" w14:textId="77777777" w:rsidR="007B136B" w:rsidRPr="007B136B" w:rsidRDefault="007B136B" w:rsidP="00FD2745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3.  Keep the basement and storage closet organized.</w:t>
            </w:r>
          </w:p>
          <w:p w14:paraId="0CBDEB9A" w14:textId="77777777" w:rsidR="007B136B" w:rsidRDefault="007B136B" w:rsidP="00FD2745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7B136B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4.  Monitor the condition of the clubhouse after private functions.</w:t>
            </w:r>
          </w:p>
          <w:p w14:paraId="7BFC65FD" w14:textId="13E73511" w:rsidR="00F31985" w:rsidRPr="00B10C59" w:rsidRDefault="00F31985" w:rsidP="00FD2745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</w:tc>
      </w:tr>
    </w:tbl>
    <w:p w14:paraId="0195CD95" w14:textId="77777777" w:rsidR="00F31985" w:rsidRDefault="00F31985">
      <w:r>
        <w:br w:type="page"/>
      </w:r>
    </w:p>
    <w:tbl>
      <w:tblPr>
        <w:tblStyle w:val="TableGrid"/>
        <w:tblW w:w="12775" w:type="dxa"/>
        <w:tblLook w:val="0420" w:firstRow="1" w:lastRow="0" w:firstColumn="0" w:lastColumn="0" w:noHBand="0" w:noVBand="1"/>
      </w:tblPr>
      <w:tblGrid>
        <w:gridCol w:w="1975"/>
        <w:gridCol w:w="3060"/>
        <w:gridCol w:w="7740"/>
      </w:tblGrid>
      <w:tr w:rsidR="00966136" w14:paraId="42B9E124" w14:textId="77777777" w:rsidTr="00256937">
        <w:tc>
          <w:tcPr>
            <w:tcW w:w="1975" w:type="dxa"/>
          </w:tcPr>
          <w:p w14:paraId="03D9B88F" w14:textId="399AC574" w:rsidR="00966136" w:rsidRPr="00DD186B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DD186B">
              <w:rPr>
                <w:b/>
                <w:bCs/>
                <w:sz w:val="32"/>
                <w:szCs w:val="32"/>
              </w:rPr>
              <w:lastRenderedPageBreak/>
              <w:t>Contracts</w:t>
            </w:r>
          </w:p>
        </w:tc>
        <w:tc>
          <w:tcPr>
            <w:tcW w:w="3060" w:type="dxa"/>
          </w:tcPr>
          <w:p w14:paraId="4A8DE90F" w14:textId="77777777" w:rsidR="00966136" w:rsidRPr="00DD186B" w:rsidRDefault="00966136" w:rsidP="00966136">
            <w:pPr>
              <w:rPr>
                <w:b/>
                <w:bCs/>
                <w:sz w:val="24"/>
                <w:szCs w:val="24"/>
              </w:rPr>
            </w:pPr>
            <w:r w:rsidRPr="00DD186B">
              <w:rPr>
                <w:b/>
                <w:bCs/>
                <w:sz w:val="24"/>
                <w:szCs w:val="24"/>
              </w:rPr>
              <w:t>Mike Lewis, Chair</w:t>
            </w:r>
          </w:p>
          <w:p w14:paraId="235E4143" w14:textId="77777777" w:rsidR="00711F6A" w:rsidRPr="00DD186B" w:rsidRDefault="00711F6A" w:rsidP="00966136">
            <w:pPr>
              <w:rPr>
                <w:sz w:val="24"/>
                <w:szCs w:val="24"/>
              </w:rPr>
            </w:pPr>
            <w:r w:rsidRPr="00DD186B">
              <w:rPr>
                <w:sz w:val="24"/>
                <w:szCs w:val="24"/>
              </w:rPr>
              <w:t>Mike Backof</w:t>
            </w:r>
          </w:p>
          <w:p w14:paraId="7DA68365" w14:textId="06AF640C" w:rsidR="00711F6A" w:rsidRPr="00DD186B" w:rsidRDefault="00711F6A" w:rsidP="00966136">
            <w:pPr>
              <w:rPr>
                <w:sz w:val="24"/>
                <w:szCs w:val="24"/>
              </w:rPr>
            </w:pPr>
            <w:r w:rsidRPr="00DD186B">
              <w:rPr>
                <w:sz w:val="24"/>
                <w:szCs w:val="24"/>
              </w:rPr>
              <w:t>Oral Folks</w:t>
            </w:r>
          </w:p>
          <w:p w14:paraId="157AF23C" w14:textId="0AB85887" w:rsidR="00956FED" w:rsidRPr="00DD186B" w:rsidRDefault="00956FED" w:rsidP="00966136">
            <w:pPr>
              <w:rPr>
                <w:sz w:val="24"/>
                <w:szCs w:val="24"/>
              </w:rPr>
            </w:pPr>
            <w:r w:rsidRPr="00DD186B">
              <w:rPr>
                <w:sz w:val="24"/>
                <w:szCs w:val="24"/>
              </w:rPr>
              <w:t>Paul Ulrich</w:t>
            </w:r>
          </w:p>
          <w:p w14:paraId="5289F0BC" w14:textId="5F41C5BA" w:rsidR="00C03AC0" w:rsidRPr="00DD186B" w:rsidRDefault="00C03AC0" w:rsidP="00D253F8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14:paraId="44245042" w14:textId="2CB4097D" w:rsidR="00B10C59" w:rsidRP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The Contracts Committee is responsible for identifying prospective bidders for </w:t>
            </w:r>
            <w:r w:rsidR="00680D79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long-term</w:t>
            </w: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contracts, such as the Community Property Manager, Landscaping, Snow Removal, etc., or for </w:t>
            </w:r>
            <w:r w:rsidR="00680D79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short-term</w:t>
            </w: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</w:t>
            </w:r>
            <w:r w:rsidR="007B136B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high-cost</w:t>
            </w: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contracts, such as Road Resurfacing, Roof Replacement, etc.</w:t>
            </w:r>
          </w:p>
          <w:p w14:paraId="04D84FE5" w14:textId="77777777" w:rsid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  <w:p w14:paraId="4027D1A3" w14:textId="10C8A9D3" w:rsid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The Committee prepares a Request for Proposal (RFP), which is emailed to multiple selected contractors or vendors, and then reviews the submitted responses and cost proposals to create </w:t>
            </w:r>
            <w:r w:rsidR="000541F5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a concise list</w:t>
            </w: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for interview.</w:t>
            </w:r>
          </w:p>
          <w:p w14:paraId="68941A6D" w14:textId="77777777" w:rsidR="00B10C59" w:rsidRP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</w:p>
          <w:p w14:paraId="52A23600" w14:textId="3043FE7B" w:rsidR="00B10C59" w:rsidRP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Representatives from the selected companies are interviewed with the objective of identifying a single preferred proposer</w:t>
            </w:r>
            <w:r w:rsidR="000541F5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. </w:t>
            </w: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Their package, together with details of the selection process, are forwarded to the Board for their approval.</w:t>
            </w:r>
          </w:p>
          <w:p w14:paraId="33FE8B65" w14:textId="324D70EA" w:rsidR="00B10C59" w:rsidRPr="00B10C59" w:rsidRDefault="00B10C59" w:rsidP="00B10C59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</w:pPr>
            <w:r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Once approved, the details are forwarded to the Property Manager, who executes the contract in the name of VCC, and then deals with the management of that contract</w:t>
            </w:r>
            <w:r w:rsidR="000541F5" w:rsidRPr="00B10C59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. </w:t>
            </w:r>
          </w:p>
          <w:p w14:paraId="10E52B46" w14:textId="77777777" w:rsidR="00966136" w:rsidRPr="00B10C59" w:rsidRDefault="00966136" w:rsidP="0096613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4421" w14:paraId="08B01F36" w14:textId="77777777" w:rsidTr="00256937">
        <w:tc>
          <w:tcPr>
            <w:tcW w:w="1975" w:type="dxa"/>
          </w:tcPr>
          <w:p w14:paraId="35EB08EE" w14:textId="567BECD2" w:rsidR="00194421" w:rsidRPr="00711F6A" w:rsidRDefault="00AA0A17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194421" w:rsidRPr="00711F6A">
              <w:rPr>
                <w:b/>
                <w:bCs/>
                <w:sz w:val="32"/>
                <w:szCs w:val="32"/>
              </w:rPr>
              <w:t>Finance</w:t>
            </w:r>
          </w:p>
        </w:tc>
        <w:tc>
          <w:tcPr>
            <w:tcW w:w="3060" w:type="dxa"/>
          </w:tcPr>
          <w:p w14:paraId="28A3EA2D" w14:textId="3EA93CAE" w:rsidR="001240F2" w:rsidRPr="00794AE1" w:rsidRDefault="001240F2" w:rsidP="00194421">
            <w:pPr>
              <w:rPr>
                <w:b/>
                <w:bCs/>
                <w:sz w:val="24"/>
                <w:szCs w:val="24"/>
              </w:rPr>
            </w:pPr>
            <w:r w:rsidRPr="00794AE1">
              <w:rPr>
                <w:b/>
                <w:bCs/>
                <w:sz w:val="24"/>
                <w:szCs w:val="24"/>
              </w:rPr>
              <w:t>Karen Engling</w:t>
            </w:r>
            <w:r w:rsidR="00B37586" w:rsidRPr="00794AE1">
              <w:rPr>
                <w:b/>
                <w:bCs/>
                <w:sz w:val="24"/>
                <w:szCs w:val="24"/>
              </w:rPr>
              <w:t>, Chair</w:t>
            </w:r>
          </w:p>
          <w:p w14:paraId="5AA25E8B" w14:textId="77777777" w:rsidR="00695AAE" w:rsidRDefault="00695AAE" w:rsidP="0019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Braun</w:t>
            </w:r>
          </w:p>
          <w:p w14:paraId="529F901F" w14:textId="1B95BDE3" w:rsidR="001240F2" w:rsidRDefault="00B61ED3" w:rsidP="0019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Dick Fanta</w:t>
            </w:r>
          </w:p>
          <w:p w14:paraId="572036D6" w14:textId="093CF87A" w:rsidR="00B37586" w:rsidRPr="00794AE1" w:rsidRDefault="00B37586" w:rsidP="00194421">
            <w:pPr>
              <w:rPr>
                <w:strike/>
                <w:sz w:val="24"/>
                <w:szCs w:val="24"/>
              </w:rPr>
            </w:pPr>
            <w:r w:rsidRPr="00B37586">
              <w:rPr>
                <w:sz w:val="24"/>
                <w:szCs w:val="24"/>
              </w:rPr>
              <w:t>Marilyn Hummer</w:t>
            </w:r>
            <w:r w:rsidR="00794AE1" w:rsidRPr="00794AE1">
              <w:rPr>
                <w:strike/>
                <w:sz w:val="24"/>
                <w:szCs w:val="24"/>
              </w:rPr>
              <w:t xml:space="preserve"> </w:t>
            </w:r>
          </w:p>
          <w:p w14:paraId="0CB7E90D" w14:textId="27287BC0" w:rsidR="00B61ED3" w:rsidRDefault="00B61ED3" w:rsidP="00194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Long</w:t>
            </w:r>
          </w:p>
          <w:p w14:paraId="14C26BB4" w14:textId="5ADF53E1" w:rsidR="00C03AC0" w:rsidRPr="00194421" w:rsidRDefault="00C03AC0" w:rsidP="00194421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14:paraId="7E983D2E" w14:textId="36019E49" w:rsidR="0029613C" w:rsidRDefault="0029613C" w:rsidP="0029613C">
            <w:pPr>
              <w:rPr>
                <w:rFonts w:cstheme="minorHAnsi"/>
                <w:sz w:val="24"/>
                <w:szCs w:val="24"/>
              </w:rPr>
            </w:pPr>
            <w:r w:rsidRPr="0029613C">
              <w:rPr>
                <w:rFonts w:cstheme="minorHAnsi"/>
                <w:sz w:val="24"/>
                <w:szCs w:val="24"/>
              </w:rPr>
              <w:t>The Finance Committee is responsible for advising the VCC Board of Directors on the:</w:t>
            </w:r>
          </w:p>
          <w:p w14:paraId="77222F28" w14:textId="77777777" w:rsidR="0029613C" w:rsidRPr="0029613C" w:rsidRDefault="0029613C" w:rsidP="0029613C">
            <w:pPr>
              <w:rPr>
                <w:rFonts w:cstheme="minorHAnsi"/>
                <w:sz w:val="24"/>
                <w:szCs w:val="24"/>
              </w:rPr>
            </w:pPr>
          </w:p>
          <w:p w14:paraId="31852AC2" w14:textId="556A4E95" w:rsidR="0029613C" w:rsidRPr="0029613C" w:rsidRDefault="0029613C" w:rsidP="0029613C">
            <w:pPr>
              <w:ind w:left="720"/>
              <w:rPr>
                <w:rFonts w:cstheme="minorHAnsi"/>
                <w:sz w:val="24"/>
                <w:szCs w:val="24"/>
              </w:rPr>
            </w:pPr>
            <w:r w:rsidRPr="0029613C">
              <w:rPr>
                <w:rFonts w:cstheme="minorHAnsi"/>
                <w:sz w:val="24"/>
                <w:szCs w:val="24"/>
              </w:rPr>
              <w:t>1. Formulation of the annual proposed budgets and oversight of the final annual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613C">
              <w:rPr>
                <w:rFonts w:cstheme="minorHAnsi"/>
                <w:sz w:val="24"/>
                <w:szCs w:val="24"/>
              </w:rPr>
              <w:t>budgets to ensure operations and reserve fund allocations are appropriate.</w:t>
            </w:r>
          </w:p>
          <w:p w14:paraId="37CC638B" w14:textId="705AF43E" w:rsidR="0029613C" w:rsidRPr="0029613C" w:rsidRDefault="0029613C" w:rsidP="0029613C">
            <w:pPr>
              <w:ind w:left="720"/>
              <w:rPr>
                <w:rFonts w:cstheme="minorHAnsi"/>
                <w:sz w:val="24"/>
                <w:szCs w:val="24"/>
              </w:rPr>
            </w:pPr>
            <w:r w:rsidRPr="0029613C">
              <w:rPr>
                <w:rFonts w:cstheme="minorHAnsi"/>
                <w:sz w:val="24"/>
                <w:szCs w:val="24"/>
              </w:rPr>
              <w:t>2. Review the annual reserve studies; recommend project prioritization; oversee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613C">
              <w:rPr>
                <w:rFonts w:cstheme="minorHAnsi"/>
                <w:sz w:val="24"/>
                <w:szCs w:val="24"/>
              </w:rPr>
              <w:t>reserve expenditures, the reserve funding plan, and the five-year outlook.</w:t>
            </w:r>
          </w:p>
          <w:p w14:paraId="5287F750" w14:textId="77777777" w:rsidR="0029613C" w:rsidRDefault="0029613C" w:rsidP="0029613C">
            <w:pPr>
              <w:ind w:left="720"/>
              <w:rPr>
                <w:rFonts w:cstheme="minorHAnsi"/>
                <w:sz w:val="24"/>
                <w:szCs w:val="24"/>
              </w:rPr>
            </w:pPr>
            <w:r w:rsidRPr="0029613C">
              <w:rPr>
                <w:rFonts w:cstheme="minorHAnsi"/>
                <w:sz w:val="24"/>
                <w:szCs w:val="24"/>
              </w:rPr>
              <w:t>3. Review the monthly financial statements and oversee the replacement fund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613C">
              <w:rPr>
                <w:rFonts w:cstheme="minorHAnsi"/>
                <w:sz w:val="24"/>
                <w:szCs w:val="24"/>
              </w:rPr>
              <w:t>include investment recommendations (e.g., cash savings and reinvestments, CDs,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613C">
              <w:rPr>
                <w:rFonts w:cstheme="minorHAnsi"/>
                <w:sz w:val="24"/>
                <w:szCs w:val="24"/>
              </w:rPr>
              <w:t>MMs and Treasury Bills) and ensure maturity dates and annual cost of projects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9613C">
              <w:rPr>
                <w:rFonts w:cstheme="minorHAnsi"/>
                <w:sz w:val="24"/>
                <w:szCs w:val="24"/>
              </w:rPr>
              <w:t>coincide.</w:t>
            </w:r>
          </w:p>
          <w:p w14:paraId="01AA98AF" w14:textId="75780D29" w:rsidR="00F31985" w:rsidRPr="0029613C" w:rsidRDefault="00F31985" w:rsidP="0029613C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</w:tr>
    </w:tbl>
    <w:p w14:paraId="3EED78E8" w14:textId="77777777" w:rsidR="00F31985" w:rsidRDefault="00F31985">
      <w:r>
        <w:br w:type="page"/>
      </w:r>
    </w:p>
    <w:tbl>
      <w:tblPr>
        <w:tblStyle w:val="TableGrid"/>
        <w:tblW w:w="12775" w:type="dxa"/>
        <w:tblLook w:val="0420" w:firstRow="1" w:lastRow="0" w:firstColumn="0" w:lastColumn="0" w:noHBand="0" w:noVBand="1"/>
      </w:tblPr>
      <w:tblGrid>
        <w:gridCol w:w="1975"/>
        <w:gridCol w:w="3060"/>
        <w:gridCol w:w="7740"/>
      </w:tblGrid>
      <w:tr w:rsidR="00966136" w14:paraId="58B3F250" w14:textId="77777777" w:rsidTr="00256937">
        <w:tc>
          <w:tcPr>
            <w:tcW w:w="1975" w:type="dxa"/>
          </w:tcPr>
          <w:p w14:paraId="41AC739E" w14:textId="14348C0D" w:rsidR="00966136" w:rsidRPr="00711F6A" w:rsidRDefault="00711F6A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lastRenderedPageBreak/>
              <w:t xml:space="preserve">Grounds and </w:t>
            </w:r>
            <w:r w:rsidR="00966136" w:rsidRPr="00711F6A">
              <w:rPr>
                <w:b/>
                <w:bCs/>
                <w:sz w:val="32"/>
                <w:szCs w:val="32"/>
              </w:rPr>
              <w:t>Landscaping</w:t>
            </w:r>
          </w:p>
        </w:tc>
        <w:tc>
          <w:tcPr>
            <w:tcW w:w="3060" w:type="dxa"/>
          </w:tcPr>
          <w:p w14:paraId="7534D828" w14:textId="147167A0" w:rsidR="00966136" w:rsidRPr="00711F6A" w:rsidRDefault="00B830E1" w:rsidP="009661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Jack Burk</w:t>
            </w:r>
            <w:r w:rsidR="00966136" w:rsidRPr="00711F6A">
              <w:rPr>
                <w:b/>
                <w:bCs/>
                <w:sz w:val="24"/>
                <w:szCs w:val="24"/>
              </w:rPr>
              <w:t>, Chair</w:t>
            </w:r>
          </w:p>
          <w:p w14:paraId="56FCD92F" w14:textId="7B89969B" w:rsidR="003019FE" w:rsidRDefault="00711F6A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</w:t>
            </w:r>
            <w:r w:rsidR="0012348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Bryan</w:t>
            </w:r>
          </w:p>
          <w:p w14:paraId="296AD24F" w14:textId="3A532EB9" w:rsidR="003019FE" w:rsidRPr="00DE036C" w:rsidRDefault="003019FE" w:rsidP="00966136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Fish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468EF6F0" w14:textId="168C320B" w:rsidR="00F14DF4" w:rsidRDefault="00F14DF4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Vogt</w:t>
            </w:r>
          </w:p>
          <w:p w14:paraId="6508CE5B" w14:textId="589384AE" w:rsidR="003019FE" w:rsidRDefault="003019FE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Wilensky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0FDC4DDE" w14:textId="0FBC2331" w:rsidR="00C03AC0" w:rsidRPr="00966136" w:rsidRDefault="00C03AC0" w:rsidP="00966136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14:paraId="685B5655" w14:textId="6861C3EA" w:rsidR="007B136B" w:rsidRPr="007B136B" w:rsidRDefault="007B136B" w:rsidP="007B136B">
            <w:pPr>
              <w:rPr>
                <w:rFonts w:ascii="Calibri" w:hAnsi="Calibri" w:cs="Calibri"/>
                <w:sz w:val="24"/>
                <w:szCs w:val="24"/>
              </w:rPr>
            </w:pPr>
            <w:r w:rsidRPr="007B136B">
              <w:rPr>
                <w:rFonts w:ascii="Calibri" w:hAnsi="Calibri" w:cs="Calibri"/>
                <w:sz w:val="24"/>
                <w:szCs w:val="24"/>
              </w:rPr>
              <w:t>The Landscaping Committee works with the property manager and the landscaping contractor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to ensure that the common area and limited common area receive the attention and upkeep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they need. Each spring the committee walks the neighborhood with the contractor to identify</w:t>
            </w:r>
          </w:p>
          <w:p w14:paraId="7EA01B31" w14:textId="206739FE" w:rsidR="007B136B" w:rsidRPr="007B136B" w:rsidRDefault="007B136B" w:rsidP="007B136B">
            <w:pPr>
              <w:rPr>
                <w:rFonts w:ascii="Calibri" w:hAnsi="Calibri" w:cs="Calibri"/>
                <w:sz w:val="24"/>
                <w:szCs w:val="24"/>
              </w:rPr>
            </w:pPr>
            <w:r w:rsidRPr="007B136B">
              <w:rPr>
                <w:rFonts w:ascii="Calibri" w:hAnsi="Calibri" w:cs="Calibri"/>
                <w:sz w:val="24"/>
                <w:szCs w:val="24"/>
              </w:rPr>
              <w:t>needs for the year before the spring cleanup. Based on our observations, the committee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creates a priority list of items that need to be addressed as the budget allows and revises the list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as items are addressed. The committee chair sends out an email each spring to remind owners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of the responsibilities of both the Association and the owners. Throughout the summer, the</w:t>
            </w:r>
          </w:p>
          <w:p w14:paraId="19ECDE67" w14:textId="77777777" w:rsidR="00966136" w:rsidRDefault="007B136B" w:rsidP="007B136B">
            <w:pPr>
              <w:rPr>
                <w:rFonts w:ascii="Calibri" w:hAnsi="Calibri" w:cs="Calibri"/>
                <w:sz w:val="24"/>
                <w:szCs w:val="24"/>
              </w:rPr>
            </w:pPr>
            <w:r w:rsidRPr="007B136B">
              <w:rPr>
                <w:rFonts w:ascii="Calibri" w:hAnsi="Calibri" w:cs="Calibri"/>
                <w:sz w:val="24"/>
                <w:szCs w:val="24"/>
              </w:rPr>
              <w:t>committee works to ensure that owners’ concerns are heard and addressed in an equitable way.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When necessary, the committee, in conjunction with the VCC Board, may also conduct an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136B">
              <w:rPr>
                <w:rFonts w:ascii="Calibri" w:hAnsi="Calibri" w:cs="Calibri"/>
                <w:sz w:val="24"/>
                <w:szCs w:val="24"/>
              </w:rPr>
              <w:t>annual review with the landscaping contractor.</w:t>
            </w:r>
          </w:p>
          <w:p w14:paraId="11A3EC7B" w14:textId="135937D5" w:rsidR="00F31985" w:rsidRPr="007B136B" w:rsidRDefault="00F31985" w:rsidP="007B136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145E" w14:paraId="37FA9D10" w14:textId="77777777" w:rsidTr="00256937">
        <w:tc>
          <w:tcPr>
            <w:tcW w:w="1975" w:type="dxa"/>
          </w:tcPr>
          <w:p w14:paraId="36635128" w14:textId="34C2EA65" w:rsidR="0016145E" w:rsidRPr="00711F6A" w:rsidRDefault="0016145E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Insurance</w:t>
            </w:r>
          </w:p>
        </w:tc>
        <w:tc>
          <w:tcPr>
            <w:tcW w:w="3060" w:type="dxa"/>
          </w:tcPr>
          <w:p w14:paraId="1B2D2FB8" w14:textId="67072ACF" w:rsidR="00966663" w:rsidRPr="00966663" w:rsidRDefault="00732AB6" w:rsidP="00966136">
            <w:pPr>
              <w:rPr>
                <w:sz w:val="24"/>
                <w:szCs w:val="24"/>
              </w:rPr>
            </w:pPr>
            <w:r w:rsidRPr="00732AB6">
              <w:rPr>
                <w:color w:val="EE0000"/>
                <w:sz w:val="24"/>
                <w:szCs w:val="24"/>
              </w:rPr>
              <w:t>Chair Needed</w:t>
            </w:r>
          </w:p>
        </w:tc>
        <w:tc>
          <w:tcPr>
            <w:tcW w:w="7740" w:type="dxa"/>
          </w:tcPr>
          <w:p w14:paraId="01282A47" w14:textId="77777777" w:rsidR="0016145E" w:rsidRDefault="009C4AF5" w:rsidP="007C189D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The Insurance Committee will provide guidance to the VCC Board of Directors regarding the Associations’ insurance coverage and policies, including communicating any </w:t>
            </w:r>
            <w:r w:rsidR="009B5ECF">
              <w:rPr>
                <w:rFonts w:eastAsia="Times New Roman" w:cstheme="minorHAnsi"/>
                <w:sz w:val="24"/>
                <w:szCs w:val="24"/>
              </w:rPr>
              <w:t>identified potential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insurance risk and opportunities.</w:t>
            </w:r>
          </w:p>
          <w:p w14:paraId="2F8C648F" w14:textId="04C38134" w:rsidR="00F31985" w:rsidRPr="009C4AF5" w:rsidRDefault="00F31985" w:rsidP="007C189D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94AE1" w14:paraId="2ECAF45A" w14:textId="77777777" w:rsidTr="00256937">
        <w:tc>
          <w:tcPr>
            <w:tcW w:w="1975" w:type="dxa"/>
          </w:tcPr>
          <w:p w14:paraId="4AFB23AC" w14:textId="0D908271" w:rsidR="00794AE1" w:rsidRDefault="00794AE1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Maintenance</w:t>
            </w:r>
          </w:p>
        </w:tc>
        <w:tc>
          <w:tcPr>
            <w:tcW w:w="3060" w:type="dxa"/>
          </w:tcPr>
          <w:p w14:paraId="3E4878FC" w14:textId="77777777" w:rsidR="00794AE1" w:rsidRDefault="00794AE1" w:rsidP="009661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Joe Long, Chair</w:t>
            </w:r>
          </w:p>
          <w:p w14:paraId="62009FFD" w14:textId="4D575E78" w:rsidR="00794AE1" w:rsidRPr="00DE036C" w:rsidRDefault="00794AE1" w:rsidP="00966136">
            <w:pPr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Mike Lewis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39B739DB" w14:textId="2BD00972" w:rsidR="00794AE1" w:rsidRDefault="00794AE1" w:rsidP="00966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Rados</w:t>
            </w:r>
            <w:r w:rsidR="00DE036C">
              <w:rPr>
                <w:sz w:val="24"/>
                <w:szCs w:val="24"/>
              </w:rPr>
              <w:t xml:space="preserve"> </w:t>
            </w:r>
          </w:p>
          <w:p w14:paraId="1F9451A2" w14:textId="330FA147" w:rsidR="00732AB6" w:rsidRPr="00794AE1" w:rsidRDefault="00810508" w:rsidP="00A35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Ceil Speake </w:t>
            </w:r>
            <w:r w:rsidRPr="00810508">
              <w:rPr>
                <w:color w:val="EE0000"/>
                <w:sz w:val="24"/>
                <w:szCs w:val="24"/>
              </w:rPr>
              <w:t>(new)</w:t>
            </w:r>
          </w:p>
        </w:tc>
        <w:tc>
          <w:tcPr>
            <w:tcW w:w="7740" w:type="dxa"/>
          </w:tcPr>
          <w:p w14:paraId="24FC9AFB" w14:textId="77777777" w:rsidR="0056579F" w:rsidRDefault="0056579F" w:rsidP="0056579F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Maintenance Committee is in place to: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E9220CF" w14:textId="77777777" w:rsidR="0056579F" w:rsidRDefault="0056579F" w:rsidP="0056579F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</w:p>
          <w:p w14:paraId="028266FE" w14:textId="55FE171C" w:rsidR="0056579F" w:rsidRPr="0056579F" w:rsidRDefault="0056579F" w:rsidP="0056579F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bookmarkStart w:id="0" w:name="_Hlk210747221"/>
            <w:r>
              <w:rPr>
                <w:rFonts w:eastAsia="Times New Roman" w:cstheme="minorHAnsi"/>
                <w:sz w:val="24"/>
                <w:szCs w:val="24"/>
              </w:rPr>
              <w:t>H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>elp residents with guidance on choice of quality contractors</w:t>
            </w:r>
          </w:p>
          <w:p w14:paraId="5FB5E06F" w14:textId="77777777" w:rsidR="0056579F" w:rsidRPr="0056579F" w:rsidRDefault="0056579F" w:rsidP="0056579F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56579F">
              <w:rPr>
                <w:rFonts w:eastAsia="Times New Roman" w:cstheme="minorHAnsi"/>
                <w:sz w:val="24"/>
                <w:szCs w:val="24"/>
              </w:rPr>
              <w:t>and organizing bulk service for multiple homes to reduce the</w:t>
            </w:r>
          </w:p>
          <w:p w14:paraId="5F6FEB13" w14:textId="77777777" w:rsidR="0056579F" w:rsidRDefault="0056579F" w:rsidP="0056579F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56579F">
              <w:rPr>
                <w:rFonts w:eastAsia="Times New Roman" w:cstheme="minorHAnsi"/>
                <w:sz w:val="24"/>
                <w:szCs w:val="24"/>
              </w:rPr>
              <w:t>costs for homeowners.</w:t>
            </w:r>
          </w:p>
          <w:p w14:paraId="639A2632" w14:textId="71914E43" w:rsidR="0056579F" w:rsidRPr="0056579F" w:rsidRDefault="0056579F" w:rsidP="0056579F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56579F">
              <w:rPr>
                <w:rFonts w:eastAsia="Times New Roman" w:cstheme="minorHAnsi"/>
                <w:sz w:val="24"/>
                <w:szCs w:val="24"/>
              </w:rPr>
              <w:t xml:space="preserve">To ensure and oversee all necessary </w:t>
            </w: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 xml:space="preserve">reventative </w:t>
            </w: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>aintenance</w:t>
            </w:r>
          </w:p>
          <w:p w14:paraId="180C66A8" w14:textId="4069B9F4" w:rsidR="00F31985" w:rsidRDefault="0056579F" w:rsidP="00A3554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</w:rPr>
            </w:pPr>
            <w:r w:rsidRPr="0056579F">
              <w:rPr>
                <w:rFonts w:eastAsia="Times New Roman" w:cstheme="minorHAnsi"/>
                <w:sz w:val="24"/>
                <w:szCs w:val="24"/>
              </w:rPr>
              <w:t>items in which the Association is responsible are completed.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>This will help keep repair costs low and get the maximum life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6579F">
              <w:rPr>
                <w:rFonts w:eastAsia="Times New Roman" w:cstheme="minorHAnsi"/>
                <w:sz w:val="24"/>
                <w:szCs w:val="24"/>
              </w:rPr>
              <w:t>expediency for the equipment.</w:t>
            </w:r>
            <w:bookmarkEnd w:id="0"/>
          </w:p>
        </w:tc>
      </w:tr>
    </w:tbl>
    <w:p w14:paraId="1594A585" w14:textId="77777777" w:rsidR="00F31985" w:rsidRDefault="00F31985">
      <w:r>
        <w:br w:type="page"/>
      </w:r>
    </w:p>
    <w:tbl>
      <w:tblPr>
        <w:tblStyle w:val="TableGrid"/>
        <w:tblW w:w="12775" w:type="dxa"/>
        <w:tblLook w:val="0420" w:firstRow="1" w:lastRow="0" w:firstColumn="0" w:lastColumn="0" w:noHBand="0" w:noVBand="1"/>
      </w:tblPr>
      <w:tblGrid>
        <w:gridCol w:w="1975"/>
        <w:gridCol w:w="26"/>
        <w:gridCol w:w="3034"/>
        <w:gridCol w:w="20"/>
        <w:gridCol w:w="7720"/>
      </w:tblGrid>
      <w:tr w:rsidR="000E15D2" w:rsidRPr="000A3AA1" w14:paraId="1354FCB7" w14:textId="77777777" w:rsidTr="000E15D2">
        <w:tc>
          <w:tcPr>
            <w:tcW w:w="2001" w:type="dxa"/>
            <w:gridSpan w:val="2"/>
          </w:tcPr>
          <w:p w14:paraId="02307290" w14:textId="391C812E" w:rsidR="000E15D2" w:rsidRDefault="000E15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Records Management</w:t>
            </w:r>
          </w:p>
          <w:p w14:paraId="17A79D69" w14:textId="77777777" w:rsidR="000E15D2" w:rsidRPr="00711F6A" w:rsidRDefault="000E15D2">
            <w:pPr>
              <w:jc w:val="center"/>
              <w:rPr>
                <w:b/>
                <w:bCs/>
                <w:sz w:val="32"/>
                <w:szCs w:val="32"/>
              </w:rPr>
            </w:pPr>
            <w:r w:rsidRPr="007221B8">
              <w:rPr>
                <w:b/>
                <w:bCs/>
                <w:color w:val="EE0000"/>
                <w:sz w:val="32"/>
                <w:szCs w:val="32"/>
              </w:rPr>
              <w:t>New</w:t>
            </w:r>
          </w:p>
        </w:tc>
        <w:tc>
          <w:tcPr>
            <w:tcW w:w="3054" w:type="dxa"/>
            <w:gridSpan w:val="2"/>
          </w:tcPr>
          <w:p w14:paraId="144E873D" w14:textId="77777777" w:rsidR="000E15D2" w:rsidRDefault="000E15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Erik Engling, Chair</w:t>
            </w:r>
          </w:p>
          <w:p w14:paraId="23A6DB38" w14:textId="77777777" w:rsidR="000E15D2" w:rsidRDefault="000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Flavin</w:t>
            </w:r>
          </w:p>
          <w:p w14:paraId="5334C5B0" w14:textId="77777777" w:rsidR="000E15D2" w:rsidRPr="007221B8" w:rsidRDefault="000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Erica McNeilly</w:t>
            </w:r>
          </w:p>
        </w:tc>
        <w:tc>
          <w:tcPr>
            <w:tcW w:w="7720" w:type="dxa"/>
          </w:tcPr>
          <w:p w14:paraId="2A90E2AE" w14:textId="77777777" w:rsidR="000E15D2" w:rsidRPr="000A3AA1" w:rsidRDefault="000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0E15D2">
              <w:rPr>
                <w:sz w:val="24"/>
                <w:szCs w:val="24"/>
              </w:rPr>
              <w:t>Records Management</w:t>
            </w:r>
            <w:r>
              <w:rPr>
                <w:sz w:val="24"/>
                <w:szCs w:val="24"/>
              </w:rPr>
              <w:t xml:space="preserve"> Committee is responsible to develop and maintain a systematic method to </w:t>
            </w:r>
            <w:r w:rsidRPr="007221B8">
              <w:rPr>
                <w:sz w:val="24"/>
                <w:szCs w:val="24"/>
              </w:rPr>
              <w:t xml:space="preserve">collect </w:t>
            </w:r>
            <w:r>
              <w:rPr>
                <w:sz w:val="24"/>
                <w:szCs w:val="24"/>
              </w:rPr>
              <w:t xml:space="preserve">and store VCC records, </w:t>
            </w:r>
            <w:r w:rsidRPr="007221B8">
              <w:rPr>
                <w:sz w:val="24"/>
                <w:szCs w:val="24"/>
              </w:rPr>
              <w:t>past, current and future</w:t>
            </w:r>
            <w:r>
              <w:rPr>
                <w:sz w:val="24"/>
                <w:szCs w:val="24"/>
              </w:rPr>
              <w:t xml:space="preserve">, </w:t>
            </w:r>
            <w:r w:rsidRPr="007221B8">
              <w:rPr>
                <w:sz w:val="24"/>
                <w:szCs w:val="24"/>
              </w:rPr>
              <w:t xml:space="preserve">in an organized </w:t>
            </w:r>
            <w:r>
              <w:rPr>
                <w:sz w:val="24"/>
                <w:szCs w:val="24"/>
              </w:rPr>
              <w:t xml:space="preserve">and retrievable </w:t>
            </w:r>
            <w:r w:rsidRPr="007221B8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>, all</w:t>
            </w:r>
            <w:r w:rsidRPr="007221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according to relevant laws and regulations.</w:t>
            </w:r>
            <w:r w:rsidRPr="007221B8">
              <w:rPr>
                <w:sz w:val="24"/>
                <w:szCs w:val="24"/>
              </w:rPr>
              <w:t xml:space="preserve"> </w:t>
            </w:r>
          </w:p>
        </w:tc>
      </w:tr>
      <w:tr w:rsidR="00966136" w14:paraId="0567C369" w14:textId="77777777" w:rsidTr="00256937">
        <w:tc>
          <w:tcPr>
            <w:tcW w:w="1975" w:type="dxa"/>
          </w:tcPr>
          <w:p w14:paraId="5EC6D607" w14:textId="16CAF7A3" w:rsidR="00966136" w:rsidRPr="00711F6A" w:rsidRDefault="00966136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Social</w:t>
            </w:r>
          </w:p>
        </w:tc>
        <w:tc>
          <w:tcPr>
            <w:tcW w:w="3060" w:type="dxa"/>
            <w:gridSpan w:val="2"/>
          </w:tcPr>
          <w:p w14:paraId="38E00A42" w14:textId="77777777" w:rsidR="00966136" w:rsidRPr="00711F6A" w:rsidRDefault="00966136" w:rsidP="00966136">
            <w:pPr>
              <w:rPr>
                <w:b/>
                <w:bCs/>
                <w:sz w:val="24"/>
                <w:szCs w:val="24"/>
              </w:rPr>
            </w:pPr>
            <w:r w:rsidRPr="00711F6A">
              <w:rPr>
                <w:b/>
                <w:bCs/>
                <w:sz w:val="24"/>
                <w:szCs w:val="24"/>
              </w:rPr>
              <w:t>Carol Fanta, Co-Chair</w:t>
            </w:r>
          </w:p>
          <w:p w14:paraId="57398D40" w14:textId="77777777" w:rsidR="00966136" w:rsidRDefault="00966136" w:rsidP="00966136">
            <w:pPr>
              <w:rPr>
                <w:b/>
                <w:bCs/>
                <w:sz w:val="24"/>
                <w:szCs w:val="24"/>
              </w:rPr>
            </w:pPr>
            <w:r w:rsidRPr="00711F6A">
              <w:rPr>
                <w:b/>
                <w:bCs/>
                <w:sz w:val="24"/>
                <w:szCs w:val="24"/>
              </w:rPr>
              <w:t>Melony Nicoli, Co-Chair</w:t>
            </w:r>
          </w:p>
          <w:p w14:paraId="54B82799" w14:textId="40F9B914" w:rsidR="002F6F54" w:rsidRPr="002F6F54" w:rsidRDefault="002F6F54" w:rsidP="00966136">
            <w:pPr>
              <w:rPr>
                <w:sz w:val="24"/>
                <w:szCs w:val="24"/>
              </w:rPr>
            </w:pPr>
            <w:r w:rsidRPr="002F6F54">
              <w:rPr>
                <w:sz w:val="24"/>
                <w:szCs w:val="24"/>
              </w:rPr>
              <w:t>Ceil Speake</w:t>
            </w:r>
            <w:r w:rsidR="00A50B81">
              <w:rPr>
                <w:sz w:val="24"/>
                <w:szCs w:val="24"/>
              </w:rPr>
              <w:t xml:space="preserve"> </w:t>
            </w:r>
            <w:r w:rsidR="00A50B81" w:rsidRPr="00A50B81">
              <w:rPr>
                <w:color w:val="EE0000"/>
                <w:sz w:val="24"/>
                <w:szCs w:val="24"/>
              </w:rPr>
              <w:t>(new)</w:t>
            </w:r>
          </w:p>
          <w:p w14:paraId="5FFFE0E2" w14:textId="5D9B5C6A" w:rsidR="00C02FB8" w:rsidRPr="00C02FB8" w:rsidRDefault="00C02FB8" w:rsidP="00966136">
            <w:pPr>
              <w:rPr>
                <w:sz w:val="24"/>
                <w:szCs w:val="24"/>
              </w:rPr>
            </w:pPr>
            <w:r w:rsidRPr="00C02FB8">
              <w:rPr>
                <w:sz w:val="24"/>
                <w:szCs w:val="24"/>
              </w:rPr>
              <w:t>Carmen Vaessen</w:t>
            </w:r>
          </w:p>
          <w:p w14:paraId="0D0DB3BF" w14:textId="749A1C38" w:rsidR="00C03AC0" w:rsidRDefault="00C03AC0" w:rsidP="00966136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  <w:gridSpan w:val="2"/>
          </w:tcPr>
          <w:p w14:paraId="61B55AC3" w14:textId="2732C2FB" w:rsidR="00966136" w:rsidRPr="00B10C59" w:rsidRDefault="00B10C59" w:rsidP="00B10C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The Social Committee is responsible for </w:t>
            </w:r>
            <w:r w:rsidR="00C02FB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="00C02FB8" w:rsidRPr="00B10C5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rganiz</w:t>
            </w:r>
            <w:r w:rsidR="00C02FB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ing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monthly </w:t>
            </w:r>
            <w:r w:rsidRPr="00B10C5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socials for the community</w:t>
            </w:r>
            <w:r w:rsidR="00C02FB8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 including maintaining Clubhouse supplies to support the social activities</w:t>
            </w:r>
            <w:r w:rsidRPr="00B10C5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6136" w14:paraId="29530434" w14:textId="77777777" w:rsidTr="00256937">
        <w:tc>
          <w:tcPr>
            <w:tcW w:w="1975" w:type="dxa"/>
          </w:tcPr>
          <w:p w14:paraId="163F957C" w14:textId="45204A0B" w:rsidR="00966136" w:rsidRPr="00711F6A" w:rsidRDefault="00711F6A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Water</w:t>
            </w:r>
            <w:r w:rsidR="007C189D">
              <w:rPr>
                <w:b/>
                <w:bCs/>
                <w:sz w:val="32"/>
                <w:szCs w:val="32"/>
              </w:rPr>
              <w:t xml:space="preserve"> System</w:t>
            </w:r>
          </w:p>
        </w:tc>
        <w:tc>
          <w:tcPr>
            <w:tcW w:w="3060" w:type="dxa"/>
            <w:gridSpan w:val="2"/>
          </w:tcPr>
          <w:p w14:paraId="79F6539D" w14:textId="77777777" w:rsidR="00711F6A" w:rsidRPr="00711F6A" w:rsidRDefault="00711F6A" w:rsidP="00711F6A">
            <w:pPr>
              <w:rPr>
                <w:b/>
                <w:bCs/>
                <w:sz w:val="24"/>
                <w:szCs w:val="24"/>
              </w:rPr>
            </w:pPr>
            <w:r w:rsidRPr="00711F6A">
              <w:rPr>
                <w:b/>
                <w:bCs/>
                <w:sz w:val="24"/>
                <w:szCs w:val="24"/>
              </w:rPr>
              <w:t>Dan Duggan, Chair</w:t>
            </w:r>
          </w:p>
          <w:p w14:paraId="3C0CD602" w14:textId="77777777" w:rsidR="00797CC6" w:rsidRDefault="00797CC6" w:rsidP="00797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Sweetman</w:t>
            </w:r>
          </w:p>
          <w:p w14:paraId="6A75958C" w14:textId="77777777" w:rsidR="00711F6A" w:rsidRDefault="00711F6A" w:rsidP="0071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Ulrich</w:t>
            </w:r>
          </w:p>
          <w:p w14:paraId="20566C2F" w14:textId="55ECA24C" w:rsidR="00C03AC0" w:rsidRDefault="00C03AC0" w:rsidP="00797CC6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  <w:gridSpan w:val="2"/>
          </w:tcPr>
          <w:p w14:paraId="4E707712" w14:textId="6D52AC31" w:rsidR="00966136" w:rsidRDefault="00D313A2" w:rsidP="007C1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Water System Committee is responsible </w:t>
            </w:r>
            <w:r w:rsidR="00680D79">
              <w:rPr>
                <w:rFonts w:cstheme="minorHAnsi"/>
                <w:sz w:val="24"/>
                <w:szCs w:val="24"/>
              </w:rPr>
              <w:t>for advising</w:t>
            </w:r>
            <w:r w:rsidR="007C189D" w:rsidRPr="007C189D">
              <w:rPr>
                <w:rFonts w:cstheme="minorHAnsi"/>
                <w:sz w:val="24"/>
                <w:szCs w:val="24"/>
              </w:rPr>
              <w:t xml:space="preserve"> the VCC Board of Directors on matters concerning the Association’s water supply system and </w:t>
            </w:r>
            <w:r w:rsidR="000541F5" w:rsidRPr="007C189D">
              <w:rPr>
                <w:rFonts w:cstheme="minorHAnsi"/>
                <w:sz w:val="24"/>
                <w:szCs w:val="24"/>
              </w:rPr>
              <w:t>its</w:t>
            </w:r>
            <w:r w:rsidR="007C189D" w:rsidRPr="007C189D">
              <w:rPr>
                <w:rFonts w:cstheme="minorHAnsi"/>
                <w:sz w:val="24"/>
                <w:szCs w:val="24"/>
              </w:rPr>
              <w:t xml:space="preserve"> water treatment facility and recommended courses of </w:t>
            </w:r>
            <w:r w:rsidR="00B4467A" w:rsidRPr="007C189D">
              <w:rPr>
                <w:rFonts w:cstheme="minorHAnsi"/>
                <w:sz w:val="24"/>
                <w:szCs w:val="24"/>
              </w:rPr>
              <w:t>action,</w:t>
            </w:r>
            <w:r w:rsidR="007C189D">
              <w:rPr>
                <w:rFonts w:cstheme="minorHAnsi"/>
                <w:sz w:val="24"/>
                <w:szCs w:val="24"/>
              </w:rPr>
              <w:t xml:space="preserve"> </w:t>
            </w:r>
            <w:r w:rsidR="007C189D" w:rsidRPr="007C189D">
              <w:rPr>
                <w:rFonts w:cstheme="minorHAnsi"/>
                <w:sz w:val="24"/>
                <w:szCs w:val="24"/>
              </w:rPr>
              <w:t>as necessary. Key components of this mission are the following:</w:t>
            </w:r>
          </w:p>
          <w:p w14:paraId="20CCE1E5" w14:textId="2801F4CB" w:rsidR="007C189D" w:rsidRDefault="007C189D" w:rsidP="007C189D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Liaise with Maryland Environmental Service (MES) to identify issues concerning the operations of the systems and possible correction actions. </w:t>
            </w:r>
          </w:p>
          <w:p w14:paraId="072B6F06" w14:textId="15A833B4" w:rsidR="007C189D" w:rsidRDefault="007C189D" w:rsidP="007C189D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with MES and VCC Finance Committee to identify key replacement parts status, and work, as appropriate, to secure quotes and recommend purchase to the Board.</w:t>
            </w:r>
          </w:p>
          <w:p w14:paraId="77ABD585" w14:textId="77777777" w:rsidR="00797CC6" w:rsidRDefault="007C189D" w:rsidP="00797CC6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with MES to identify water quality issues, including PFA ground water pollutants and recommend solutions, if any.</w:t>
            </w:r>
          </w:p>
          <w:p w14:paraId="2E8116C3" w14:textId="50612379" w:rsidR="007C189D" w:rsidRPr="00797CC6" w:rsidRDefault="007C189D" w:rsidP="00F31985">
            <w:pPr>
              <w:pStyle w:val="ListParagraph"/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966136" w14:paraId="3FE97D12" w14:textId="77777777" w:rsidTr="00256937">
        <w:tc>
          <w:tcPr>
            <w:tcW w:w="1975" w:type="dxa"/>
          </w:tcPr>
          <w:p w14:paraId="7275D89F" w14:textId="5E2FDEAC" w:rsidR="00966136" w:rsidRPr="00711F6A" w:rsidRDefault="00711F6A" w:rsidP="00966136">
            <w:pPr>
              <w:jc w:val="center"/>
              <w:rPr>
                <w:b/>
                <w:bCs/>
                <w:sz w:val="32"/>
                <w:szCs w:val="32"/>
              </w:rPr>
            </w:pPr>
            <w:r w:rsidRPr="00711F6A">
              <w:rPr>
                <w:b/>
                <w:bCs/>
                <w:sz w:val="32"/>
                <w:szCs w:val="32"/>
              </w:rPr>
              <w:t>Welcom</w:t>
            </w:r>
            <w:r w:rsidR="00D504B9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3060" w:type="dxa"/>
            <w:gridSpan w:val="2"/>
          </w:tcPr>
          <w:p w14:paraId="0C588E28" w14:textId="77777777" w:rsidR="00711F6A" w:rsidRDefault="00711F6A" w:rsidP="00966136">
            <w:pPr>
              <w:rPr>
                <w:b/>
                <w:bCs/>
                <w:sz w:val="24"/>
                <w:szCs w:val="24"/>
              </w:rPr>
            </w:pPr>
            <w:r w:rsidRPr="007B136B">
              <w:rPr>
                <w:b/>
                <w:bCs/>
                <w:sz w:val="24"/>
                <w:szCs w:val="24"/>
              </w:rPr>
              <w:t>Ginny Driscoll</w:t>
            </w:r>
            <w:r w:rsidR="007B136B" w:rsidRPr="007B136B">
              <w:rPr>
                <w:b/>
                <w:bCs/>
                <w:sz w:val="24"/>
                <w:szCs w:val="24"/>
              </w:rPr>
              <w:t>, Co-Chair</w:t>
            </w:r>
          </w:p>
          <w:p w14:paraId="2E042D8B" w14:textId="6F61DA99" w:rsidR="00B830E1" w:rsidRPr="007B136B" w:rsidRDefault="00B830E1" w:rsidP="009661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Paula Tilley, Co-Chair</w:t>
            </w:r>
          </w:p>
        </w:tc>
        <w:tc>
          <w:tcPr>
            <w:tcW w:w="7740" w:type="dxa"/>
            <w:gridSpan w:val="2"/>
          </w:tcPr>
          <w:p w14:paraId="715408FB" w14:textId="5E1292C6" w:rsidR="00966136" w:rsidRPr="007B136B" w:rsidRDefault="007B136B" w:rsidP="007B13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 Welcom</w:t>
            </w:r>
            <w:r w:rsidR="00B4467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Committee greet</w:t>
            </w:r>
            <w:r w:rsidR="00B4467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and orient</w:t>
            </w:r>
            <w:r w:rsidR="00B4467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new residents,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review</w:t>
            </w:r>
            <w:r w:rsidR="00B4467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 VCC w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elcome packet and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provide</w:t>
            </w:r>
            <w:r w:rsidR="00B4467A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 key </w:t>
            </w:r>
            <w:r w:rsidR="000541F5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FOB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for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access </w:t>
            </w:r>
            <w:r w:rsidR="007C189D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to </w:t>
            </w:r>
            <w:r w:rsidR="007C189D"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Clubhouse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541F5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for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the new residents</w:t>
            </w:r>
            <w:r w:rsidRPr="007B136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14:paraId="2CD9FC52" w14:textId="77777777" w:rsidR="00966136" w:rsidRPr="00966136" w:rsidRDefault="00966136" w:rsidP="00966136">
      <w:pPr>
        <w:jc w:val="center"/>
        <w:rPr>
          <w:sz w:val="32"/>
          <w:szCs w:val="32"/>
        </w:rPr>
      </w:pPr>
    </w:p>
    <w:sectPr w:rsidR="00966136" w:rsidRPr="00966136" w:rsidSect="00B2272B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CA33" w14:textId="77777777" w:rsidR="008B390D" w:rsidRDefault="008B390D" w:rsidP="00C03AC0">
      <w:pPr>
        <w:spacing w:after="0" w:line="240" w:lineRule="auto"/>
      </w:pPr>
      <w:r>
        <w:separator/>
      </w:r>
    </w:p>
  </w:endnote>
  <w:endnote w:type="continuationSeparator" w:id="0">
    <w:p w14:paraId="16986A22" w14:textId="77777777" w:rsidR="008B390D" w:rsidRDefault="008B390D" w:rsidP="00C0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6970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C52317" w14:textId="6BB65D86" w:rsidR="007C189D" w:rsidRDefault="007C18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1CE8DA" w14:textId="77777777" w:rsidR="007C189D" w:rsidRDefault="007C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6D79" w14:textId="77777777" w:rsidR="008B390D" w:rsidRDefault="008B390D" w:rsidP="00C03AC0">
      <w:pPr>
        <w:spacing w:after="0" w:line="240" w:lineRule="auto"/>
      </w:pPr>
      <w:r>
        <w:separator/>
      </w:r>
    </w:p>
  </w:footnote>
  <w:footnote w:type="continuationSeparator" w:id="0">
    <w:p w14:paraId="2D20BC21" w14:textId="77777777" w:rsidR="008B390D" w:rsidRDefault="008B390D" w:rsidP="00C0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7789" w14:textId="08473412" w:rsidR="00C03AC0" w:rsidRDefault="00C03AC0" w:rsidP="00C03AC0">
    <w:pPr>
      <w:pStyle w:val="Header"/>
      <w:jc w:val="center"/>
      <w:rPr>
        <w:sz w:val="32"/>
        <w:szCs w:val="32"/>
      </w:rPr>
    </w:pPr>
    <w:r w:rsidRPr="00966136">
      <w:rPr>
        <w:sz w:val="32"/>
        <w:szCs w:val="32"/>
      </w:rPr>
      <w:t>Villas of Cattail Creek</w:t>
    </w:r>
    <w:r>
      <w:rPr>
        <w:sz w:val="32"/>
        <w:szCs w:val="32"/>
      </w:rPr>
      <w:t xml:space="preserve"> </w:t>
    </w:r>
    <w:r w:rsidRPr="00966136">
      <w:rPr>
        <w:sz w:val="32"/>
        <w:szCs w:val="32"/>
      </w:rPr>
      <w:t>Volunteer Committees</w:t>
    </w:r>
    <w:r>
      <w:rPr>
        <w:sz w:val="32"/>
        <w:szCs w:val="32"/>
      </w:rPr>
      <w:t xml:space="preserve"> 202</w:t>
    </w:r>
    <w:r w:rsidR="00717890">
      <w:rPr>
        <w:sz w:val="32"/>
        <w:szCs w:val="32"/>
      </w:rPr>
      <w:t>6</w:t>
    </w:r>
  </w:p>
  <w:p w14:paraId="77F52FB8" w14:textId="77777777" w:rsidR="00F31985" w:rsidRDefault="00F31985" w:rsidP="00C03AC0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495"/>
    <w:multiLevelType w:val="hybridMultilevel"/>
    <w:tmpl w:val="33AA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198B"/>
    <w:multiLevelType w:val="hybridMultilevel"/>
    <w:tmpl w:val="E8F6B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78781">
    <w:abstractNumId w:val="1"/>
  </w:num>
  <w:num w:numId="2" w16cid:durableId="7736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36"/>
    <w:rsid w:val="00001515"/>
    <w:rsid w:val="000541F5"/>
    <w:rsid w:val="000641B8"/>
    <w:rsid w:val="00080E93"/>
    <w:rsid w:val="000847DE"/>
    <w:rsid w:val="000914F2"/>
    <w:rsid w:val="000A266B"/>
    <w:rsid w:val="000A349E"/>
    <w:rsid w:val="000A3AA1"/>
    <w:rsid w:val="000B0872"/>
    <w:rsid w:val="000C1A30"/>
    <w:rsid w:val="000E0D30"/>
    <w:rsid w:val="000E15D2"/>
    <w:rsid w:val="00104BB3"/>
    <w:rsid w:val="00106267"/>
    <w:rsid w:val="001160FC"/>
    <w:rsid w:val="0012348B"/>
    <w:rsid w:val="001240F2"/>
    <w:rsid w:val="0016145E"/>
    <w:rsid w:val="001651DE"/>
    <w:rsid w:val="001753F2"/>
    <w:rsid w:val="00194421"/>
    <w:rsid w:val="001E59C6"/>
    <w:rsid w:val="001F0FD9"/>
    <w:rsid w:val="00223316"/>
    <w:rsid w:val="00230F00"/>
    <w:rsid w:val="0024287B"/>
    <w:rsid w:val="00256937"/>
    <w:rsid w:val="00292C0D"/>
    <w:rsid w:val="0029613C"/>
    <w:rsid w:val="002B34D5"/>
    <w:rsid w:val="002D1F58"/>
    <w:rsid w:val="002D6DFD"/>
    <w:rsid w:val="002F6F54"/>
    <w:rsid w:val="003019FE"/>
    <w:rsid w:val="00307652"/>
    <w:rsid w:val="003442D8"/>
    <w:rsid w:val="003A3FB7"/>
    <w:rsid w:val="00426DC5"/>
    <w:rsid w:val="004322F4"/>
    <w:rsid w:val="00457462"/>
    <w:rsid w:val="00487024"/>
    <w:rsid w:val="004A630B"/>
    <w:rsid w:val="004C559E"/>
    <w:rsid w:val="004C5E99"/>
    <w:rsid w:val="004F3F52"/>
    <w:rsid w:val="005014F1"/>
    <w:rsid w:val="00512AD3"/>
    <w:rsid w:val="005204FF"/>
    <w:rsid w:val="00520DFA"/>
    <w:rsid w:val="00521B58"/>
    <w:rsid w:val="005347FC"/>
    <w:rsid w:val="0054741D"/>
    <w:rsid w:val="005579BB"/>
    <w:rsid w:val="0056579F"/>
    <w:rsid w:val="00586E98"/>
    <w:rsid w:val="00591A2A"/>
    <w:rsid w:val="005A32ED"/>
    <w:rsid w:val="005B6595"/>
    <w:rsid w:val="005C603C"/>
    <w:rsid w:val="005D0AA3"/>
    <w:rsid w:val="005E0D27"/>
    <w:rsid w:val="005E5664"/>
    <w:rsid w:val="00623EC3"/>
    <w:rsid w:val="00680D79"/>
    <w:rsid w:val="00695AAE"/>
    <w:rsid w:val="006A07E8"/>
    <w:rsid w:val="006D0F4C"/>
    <w:rsid w:val="006D6333"/>
    <w:rsid w:val="006E6ED2"/>
    <w:rsid w:val="00711F6A"/>
    <w:rsid w:val="00717890"/>
    <w:rsid w:val="007221B8"/>
    <w:rsid w:val="00732AB6"/>
    <w:rsid w:val="007471A0"/>
    <w:rsid w:val="007639D2"/>
    <w:rsid w:val="007703CD"/>
    <w:rsid w:val="00794AE1"/>
    <w:rsid w:val="00797CC6"/>
    <w:rsid w:val="007B136B"/>
    <w:rsid w:val="007B1E9C"/>
    <w:rsid w:val="007C189D"/>
    <w:rsid w:val="007C3835"/>
    <w:rsid w:val="007E4B3D"/>
    <w:rsid w:val="007F2932"/>
    <w:rsid w:val="007F618F"/>
    <w:rsid w:val="00810508"/>
    <w:rsid w:val="0083430C"/>
    <w:rsid w:val="0084477C"/>
    <w:rsid w:val="008563B4"/>
    <w:rsid w:val="008847C6"/>
    <w:rsid w:val="008B390D"/>
    <w:rsid w:val="008C5E8E"/>
    <w:rsid w:val="008D13F8"/>
    <w:rsid w:val="008D5259"/>
    <w:rsid w:val="008E10AD"/>
    <w:rsid w:val="008E784C"/>
    <w:rsid w:val="0092116D"/>
    <w:rsid w:val="009435EE"/>
    <w:rsid w:val="00943B13"/>
    <w:rsid w:val="00944129"/>
    <w:rsid w:val="00956FED"/>
    <w:rsid w:val="00966136"/>
    <w:rsid w:val="00966321"/>
    <w:rsid w:val="00966663"/>
    <w:rsid w:val="00993A78"/>
    <w:rsid w:val="009A0B5D"/>
    <w:rsid w:val="009B5ECF"/>
    <w:rsid w:val="009C4AF5"/>
    <w:rsid w:val="009C6010"/>
    <w:rsid w:val="009F1269"/>
    <w:rsid w:val="00A0019F"/>
    <w:rsid w:val="00A307A0"/>
    <w:rsid w:val="00A3554A"/>
    <w:rsid w:val="00A50B81"/>
    <w:rsid w:val="00A54A05"/>
    <w:rsid w:val="00A73541"/>
    <w:rsid w:val="00A856D6"/>
    <w:rsid w:val="00A927BF"/>
    <w:rsid w:val="00AA0A17"/>
    <w:rsid w:val="00AA1114"/>
    <w:rsid w:val="00AB52D8"/>
    <w:rsid w:val="00AC2CD1"/>
    <w:rsid w:val="00AE471A"/>
    <w:rsid w:val="00B003B5"/>
    <w:rsid w:val="00B01FE6"/>
    <w:rsid w:val="00B10C59"/>
    <w:rsid w:val="00B2272B"/>
    <w:rsid w:val="00B37586"/>
    <w:rsid w:val="00B4467A"/>
    <w:rsid w:val="00B61ED3"/>
    <w:rsid w:val="00B830E1"/>
    <w:rsid w:val="00B83BD3"/>
    <w:rsid w:val="00C02FB8"/>
    <w:rsid w:val="00C03AC0"/>
    <w:rsid w:val="00C24E50"/>
    <w:rsid w:val="00C40C0A"/>
    <w:rsid w:val="00C454D9"/>
    <w:rsid w:val="00C66F6E"/>
    <w:rsid w:val="00C717E0"/>
    <w:rsid w:val="00C80E11"/>
    <w:rsid w:val="00C82CA3"/>
    <w:rsid w:val="00CD6C3C"/>
    <w:rsid w:val="00CE51CB"/>
    <w:rsid w:val="00D04D00"/>
    <w:rsid w:val="00D161C2"/>
    <w:rsid w:val="00D253F8"/>
    <w:rsid w:val="00D313A2"/>
    <w:rsid w:val="00D504B9"/>
    <w:rsid w:val="00D7639B"/>
    <w:rsid w:val="00D86EB9"/>
    <w:rsid w:val="00DA016B"/>
    <w:rsid w:val="00DD186B"/>
    <w:rsid w:val="00DE036C"/>
    <w:rsid w:val="00DE7B1D"/>
    <w:rsid w:val="00DF48E4"/>
    <w:rsid w:val="00DF6F0E"/>
    <w:rsid w:val="00E20AD9"/>
    <w:rsid w:val="00E41EF7"/>
    <w:rsid w:val="00E66A93"/>
    <w:rsid w:val="00E77C37"/>
    <w:rsid w:val="00E80C31"/>
    <w:rsid w:val="00E918A5"/>
    <w:rsid w:val="00EA0A49"/>
    <w:rsid w:val="00ED7713"/>
    <w:rsid w:val="00F05831"/>
    <w:rsid w:val="00F14DF4"/>
    <w:rsid w:val="00F16636"/>
    <w:rsid w:val="00F274FA"/>
    <w:rsid w:val="00F31985"/>
    <w:rsid w:val="00F36138"/>
    <w:rsid w:val="00F47369"/>
    <w:rsid w:val="00F521E9"/>
    <w:rsid w:val="00F61BD6"/>
    <w:rsid w:val="00F827DF"/>
    <w:rsid w:val="00F97693"/>
    <w:rsid w:val="00FD2745"/>
    <w:rsid w:val="00FE7A24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ACBBF"/>
  <w15:chartTrackingRefBased/>
  <w15:docId w15:val="{C6C2387C-8960-4227-AE38-DAC8C35D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C0"/>
  </w:style>
  <w:style w:type="paragraph" w:styleId="Footer">
    <w:name w:val="footer"/>
    <w:basedOn w:val="Normal"/>
    <w:link w:val="FooterChar"/>
    <w:uiPriority w:val="99"/>
    <w:unhideWhenUsed/>
    <w:rsid w:val="00C0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C0"/>
  </w:style>
  <w:style w:type="paragraph" w:styleId="ListParagraph">
    <w:name w:val="List Paragraph"/>
    <w:basedOn w:val="Normal"/>
    <w:uiPriority w:val="34"/>
    <w:qFormat/>
    <w:rsid w:val="007C189D"/>
    <w:pPr>
      <w:ind w:left="720"/>
      <w:contextualSpacing/>
    </w:pPr>
  </w:style>
  <w:style w:type="paragraph" w:styleId="Revision">
    <w:name w:val="Revision"/>
    <w:hidden/>
    <w:uiPriority w:val="99"/>
    <w:semiHidden/>
    <w:rsid w:val="00FE7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Duggan</dc:creator>
  <cp:keywords/>
  <dc:description/>
  <cp:lastModifiedBy>Vicki Duggan</cp:lastModifiedBy>
  <cp:revision>3</cp:revision>
  <cp:lastPrinted>2025-02-18T20:35:00Z</cp:lastPrinted>
  <dcterms:created xsi:type="dcterms:W3CDTF">2026-01-07T16:51:00Z</dcterms:created>
  <dcterms:modified xsi:type="dcterms:W3CDTF">2026-04-03T14:36:00Z</dcterms:modified>
</cp:coreProperties>
</file>